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F43054" w14:textId="15CFE303" w:rsidR="00035E21" w:rsidRDefault="00F16484" w:rsidP="00F16484">
      <w:pPr>
        <w:rPr>
          <w:b/>
          <w:bCs/>
        </w:rPr>
      </w:pPr>
      <w:r w:rsidRPr="00B66925">
        <w:rPr>
          <w:b/>
          <w:bCs/>
        </w:rPr>
        <w:t xml:space="preserve">Case </w:t>
      </w:r>
      <w:r w:rsidR="00495542">
        <w:rPr>
          <w:b/>
          <w:bCs/>
        </w:rPr>
        <w:t>History</w:t>
      </w:r>
      <w:r w:rsidRPr="00B66925">
        <w:rPr>
          <w:b/>
          <w:bCs/>
        </w:rPr>
        <w:t xml:space="preserve">: </w:t>
      </w:r>
      <w:r w:rsidR="007F33C7">
        <w:rPr>
          <w:b/>
          <w:bCs/>
        </w:rPr>
        <w:t xml:space="preserve">Enhancing Kimberlite Targeting </w:t>
      </w:r>
      <w:r w:rsidR="00035E21">
        <w:rPr>
          <w:b/>
          <w:bCs/>
        </w:rPr>
        <w:t>with</w:t>
      </w:r>
      <w:r w:rsidR="007F33C7">
        <w:rPr>
          <w:b/>
          <w:bCs/>
        </w:rPr>
        <w:t xml:space="preserve"> Gradients </w:t>
      </w:r>
      <w:r w:rsidR="00035E21">
        <w:rPr>
          <w:b/>
          <w:bCs/>
        </w:rPr>
        <w:t>using the Horizon</w:t>
      </w:r>
      <w:r w:rsidR="00495542">
        <w:rPr>
          <w:rFonts w:cstheme="minorHAnsi"/>
        </w:rPr>
        <w:t>™</w:t>
      </w:r>
      <w:r w:rsidR="00035E21">
        <w:rPr>
          <w:b/>
          <w:bCs/>
        </w:rPr>
        <w:t xml:space="preserve"> Grad System</w:t>
      </w:r>
    </w:p>
    <w:p w14:paraId="12D58B2C" w14:textId="54FC3752" w:rsidR="00F16484" w:rsidRDefault="00E83C31" w:rsidP="00F16484">
      <w:r>
        <w:t>The search for diamonds typically revolves around their host rocks, kimberlites. Kimberlites are the light rocks that travel through the earth’s crust driving diamond formation through intense pressure and heat acting upon naturally occurring carbon.</w:t>
      </w:r>
    </w:p>
    <w:p w14:paraId="3BBF82E5" w14:textId="512D2F99" w:rsidR="00E83C31" w:rsidRDefault="00E83C31" w:rsidP="00F16484">
      <w:r>
        <w:t xml:space="preserve">These deposits are located geographically around the world with some of the largest deposits in South Africa, </w:t>
      </w:r>
      <w:r w:rsidR="00B63C73">
        <w:t>Russia,</w:t>
      </w:r>
      <w:r>
        <w:t xml:space="preserve"> and Canada. As such, there is an interest in methods that can assist in the detection of kimberlitic bodies for targeting.</w:t>
      </w:r>
    </w:p>
    <w:p w14:paraId="5EAE6354" w14:textId="77777777" w:rsidR="007F33C7" w:rsidRDefault="00E83C31" w:rsidP="00F16484">
      <w:r>
        <w:t xml:space="preserve">Fortunately, kimberlites have several distinctive features which make them amenable to evaluation including shape, surface conductance, and magnetic signature (in contrast to adjacent rocks). </w:t>
      </w:r>
    </w:p>
    <w:p w14:paraId="72E2D07C" w14:textId="2D2A71B6" w:rsidR="00E83C31" w:rsidRDefault="00E83C31" w:rsidP="00F16484">
      <w:r>
        <w:t>Terraquest’s high-resolution airborne horizontal gradient survey was the source of data shown in this case history.</w:t>
      </w:r>
      <w:r w:rsidR="007F33C7">
        <w:t xml:space="preserve"> A horizontal gradiometer survey uses two separate horizontal magnetometers to record data simultaneously on two sides of the aircraft platform. This approach has many advantages as discussed below.</w:t>
      </w:r>
    </w:p>
    <w:p w14:paraId="4D526CC3" w14:textId="0148879D" w:rsidR="00E83C31" w:rsidRPr="00E83C31" w:rsidRDefault="00E83C31" w:rsidP="00F16484">
      <w:pPr>
        <w:rPr>
          <w:b/>
          <w:bCs/>
        </w:rPr>
      </w:pPr>
      <w:r w:rsidRPr="00E83C31">
        <w:rPr>
          <w:b/>
          <w:bCs/>
        </w:rPr>
        <w:t xml:space="preserve">Putting </w:t>
      </w:r>
      <w:r>
        <w:rPr>
          <w:b/>
          <w:bCs/>
        </w:rPr>
        <w:t>a</w:t>
      </w:r>
      <w:r w:rsidRPr="00E83C31">
        <w:rPr>
          <w:b/>
          <w:bCs/>
        </w:rPr>
        <w:t xml:space="preserve"> Horizon</w:t>
      </w:r>
      <w:r w:rsidR="00495542">
        <w:rPr>
          <w:rFonts w:cstheme="minorHAnsi"/>
        </w:rPr>
        <w:t>™</w:t>
      </w:r>
      <w:r w:rsidRPr="00E83C31">
        <w:rPr>
          <w:b/>
          <w:bCs/>
        </w:rPr>
        <w:t xml:space="preserve"> </w:t>
      </w:r>
      <w:r>
        <w:rPr>
          <w:b/>
          <w:bCs/>
        </w:rPr>
        <w:t xml:space="preserve">Grad </w:t>
      </w:r>
      <w:r w:rsidRPr="00E83C31">
        <w:rPr>
          <w:b/>
          <w:bCs/>
        </w:rPr>
        <w:t xml:space="preserve">Survey into </w:t>
      </w:r>
      <w:r w:rsidR="00035E21">
        <w:rPr>
          <w:b/>
          <w:bCs/>
        </w:rPr>
        <w:t>Action</w:t>
      </w:r>
    </w:p>
    <w:p w14:paraId="664404FD" w14:textId="10046822" w:rsidR="00E83C31" w:rsidRDefault="00E83C31" w:rsidP="00E83C31">
      <w:r>
        <w:t>In working on the project, Terraquest’s survey design personnel were led by several factors including the effectiveness of horizontal gradiometer surveys</w:t>
      </w:r>
      <w:r w:rsidR="007F33C7">
        <w:t xml:space="preserve"> </w:t>
      </w:r>
      <w:r>
        <w:t>for detecting near surface magnetic sources.</w:t>
      </w:r>
      <w:r w:rsidR="007F33C7">
        <w:t xml:space="preserve"> It was also determined that a slow and low altitude flight would be optimal for the survey according to modeling.</w:t>
      </w:r>
    </w:p>
    <w:p w14:paraId="70FB05BB" w14:textId="6A29D9FC" w:rsidR="007F33C7" w:rsidRDefault="007F33C7" w:rsidP="00E83C31">
      <w:r>
        <w:t xml:space="preserve">As the </w:t>
      </w:r>
      <w:r w:rsidR="00E83C31">
        <w:t xml:space="preserve">first survey contractor to operate a commercial horizontal gradient system </w:t>
      </w:r>
      <w:r>
        <w:t xml:space="preserve">starting </w:t>
      </w:r>
      <w:r w:rsidR="00E83C31">
        <w:t>in 1989</w:t>
      </w:r>
      <w:r>
        <w:t xml:space="preserve">, it was not long before Terraquest’s airborne survey began to see results on the project. The survey area was over </w:t>
      </w:r>
      <w:r w:rsidR="00E83C31">
        <w:t xml:space="preserve">an Alberta kimberlite, using </w:t>
      </w:r>
      <w:r>
        <w:t>a</w:t>
      </w:r>
      <w:r w:rsidR="00E83C31">
        <w:t xml:space="preserve"> Cessna 206 platform equipped with </w:t>
      </w:r>
      <w:r>
        <w:t>a proprietary</w:t>
      </w:r>
      <w:r w:rsidR="00E83C31">
        <w:t xml:space="preserve"> </w:t>
      </w:r>
      <w:r w:rsidR="00E83C31" w:rsidRPr="007F33C7">
        <w:rPr>
          <w:b/>
          <w:bCs/>
          <w:i/>
          <w:iCs/>
        </w:rPr>
        <w:t>Horizon</w:t>
      </w:r>
      <w:r w:rsidR="00495542">
        <w:rPr>
          <w:rFonts w:cstheme="minorHAnsi"/>
        </w:rPr>
        <w:t>™</w:t>
      </w:r>
      <w:r w:rsidR="00E83C31" w:rsidRPr="007F33C7">
        <w:rPr>
          <w:b/>
          <w:bCs/>
          <w:i/>
          <w:iCs/>
        </w:rPr>
        <w:t xml:space="preserve"> Gradiometer</w:t>
      </w:r>
      <w:r w:rsidR="00E83C31">
        <w:t xml:space="preserve"> (HG) system</w:t>
      </w:r>
      <w:r>
        <w:t xml:space="preserve">, acquired the data shown below. </w:t>
      </w:r>
    </w:p>
    <w:p w14:paraId="4C2826DC" w14:textId="11221AC4" w:rsidR="007F33C7" w:rsidRDefault="007F33C7" w:rsidP="007F33C7">
      <w:pPr>
        <w:jc w:val="center"/>
      </w:pPr>
      <w:r>
        <w:rPr>
          <w:noProof/>
        </w:rPr>
        <w:drawing>
          <wp:inline distT="0" distB="0" distL="0" distR="0" wp14:anchorId="3A7E7B3C" wp14:editId="055822B3">
            <wp:extent cx="4763414" cy="2552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834802" cy="2590957"/>
                    </a:xfrm>
                    <a:prstGeom prst="rect">
                      <a:avLst/>
                    </a:prstGeom>
                  </pic:spPr>
                </pic:pic>
              </a:graphicData>
            </a:graphic>
          </wp:inline>
        </w:drawing>
      </w:r>
      <w:r>
        <w:br/>
        <w:t xml:space="preserve">Figure 1: Survey lines are shown as vectors. Viewing the magnetic anomaly itself, it appears to be along the central line; however, in fact, the target is between the lines as indicated by the </w:t>
      </w:r>
      <w:r>
        <w:br/>
        <w:t>Horizontal Gradient Vectors.</w:t>
      </w:r>
    </w:p>
    <w:p w14:paraId="11ED0791" w14:textId="124CE486" w:rsidR="007F33C7" w:rsidRPr="007F33C7" w:rsidRDefault="007F33C7" w:rsidP="007F33C7">
      <w:pPr>
        <w:rPr>
          <w:b/>
          <w:bCs/>
        </w:rPr>
      </w:pPr>
      <w:r>
        <w:rPr>
          <w:b/>
          <w:bCs/>
        </w:rPr>
        <w:t>The specific results are that:</w:t>
      </w:r>
    </w:p>
    <w:p w14:paraId="30421B49" w14:textId="77777777" w:rsidR="007F33C7" w:rsidRDefault="007F33C7" w:rsidP="00496876">
      <w:pPr>
        <w:pStyle w:val="ListParagraph"/>
        <w:numPr>
          <w:ilvl w:val="0"/>
          <w:numId w:val="3"/>
        </w:numPr>
      </w:pPr>
      <w:r>
        <w:lastRenderedPageBreak/>
        <w:t>Drill targets are located correctly between the flight lines.</w:t>
      </w:r>
    </w:p>
    <w:p w14:paraId="465130EC" w14:textId="272ACE89" w:rsidR="00E83C31" w:rsidRDefault="00E83C31" w:rsidP="00496876">
      <w:pPr>
        <w:pStyle w:val="ListParagraph"/>
        <w:numPr>
          <w:ilvl w:val="0"/>
          <w:numId w:val="3"/>
        </w:numPr>
      </w:pPr>
      <w:r>
        <w:t>The single sensor mag is used to measure the Total Magnetic Intensity (TMI) shown as the colour image erroneously shows the kimberlite centered on the flight path</w:t>
      </w:r>
    </w:p>
    <w:p w14:paraId="16F0927E" w14:textId="475170BB" w:rsidR="00F16484" w:rsidRPr="00B66925" w:rsidRDefault="00B97BD3" w:rsidP="00F16484">
      <w:pPr>
        <w:rPr>
          <w:b/>
          <w:bCs/>
        </w:rPr>
      </w:pPr>
      <w:r w:rsidRPr="00B66925">
        <w:rPr>
          <w:b/>
          <w:bCs/>
        </w:rPr>
        <w:t xml:space="preserve">Applying a New </w:t>
      </w:r>
      <w:r w:rsidR="00B66925">
        <w:rPr>
          <w:b/>
          <w:bCs/>
        </w:rPr>
        <w:t xml:space="preserve">Interpretation </w:t>
      </w:r>
      <w:r w:rsidRPr="00B66925">
        <w:rPr>
          <w:b/>
          <w:bCs/>
        </w:rPr>
        <w:t>Approach to Greenstone Exploration</w:t>
      </w:r>
    </w:p>
    <w:p w14:paraId="55884E88" w14:textId="77777777" w:rsidR="00B97BD3" w:rsidRDefault="00B97BD3" w:rsidP="00B97BD3">
      <w:r>
        <w:t>Inversion is a method that develops a model of the data from a priori acquired geophysical data. It is typically applied to magnetic and other forms of data, in this case, VLF-EM. With this data, the objectives were to:</w:t>
      </w:r>
    </w:p>
    <w:p w14:paraId="47E12789" w14:textId="28941F7A" w:rsidR="00B97BD3" w:rsidRDefault="00B97BD3" w:rsidP="00B97BD3">
      <w:pPr>
        <w:pStyle w:val="ListParagraph"/>
        <w:numPr>
          <w:ilvl w:val="0"/>
          <w:numId w:val="2"/>
        </w:numPr>
      </w:pPr>
      <w:r>
        <w:t>Characterize rock types by their inherent resistivity</w:t>
      </w:r>
    </w:p>
    <w:p w14:paraId="23B69454" w14:textId="77777777" w:rsidR="00B97BD3" w:rsidRDefault="00B97BD3" w:rsidP="00B97BD3">
      <w:pPr>
        <w:pStyle w:val="ListParagraph"/>
        <w:numPr>
          <w:ilvl w:val="0"/>
          <w:numId w:val="2"/>
        </w:numPr>
      </w:pPr>
      <w:r>
        <w:t>Enhance the resolution of contacts between lithologies</w:t>
      </w:r>
    </w:p>
    <w:p w14:paraId="2E652106" w14:textId="77777777" w:rsidR="00B97BD3" w:rsidRDefault="00B97BD3" w:rsidP="00B97BD3">
      <w:pPr>
        <w:pStyle w:val="ListParagraph"/>
        <w:numPr>
          <w:ilvl w:val="0"/>
          <w:numId w:val="2"/>
        </w:numPr>
      </w:pPr>
      <w:r>
        <w:t>Augment the conductor axis provided by the total field amplitude</w:t>
      </w:r>
    </w:p>
    <w:p w14:paraId="78B0BA18" w14:textId="769167EC" w:rsidR="00B97BD3" w:rsidRDefault="00B97BD3" w:rsidP="00B97BD3">
      <w:pPr>
        <w:pStyle w:val="ListParagraph"/>
        <w:numPr>
          <w:ilvl w:val="0"/>
          <w:numId w:val="2"/>
        </w:numPr>
      </w:pPr>
      <w:r>
        <w:t xml:space="preserve">Identify resistivity lows commonly associated with contact zones, </w:t>
      </w:r>
      <w:r w:rsidR="00B63C73">
        <w:t>alteration,</w:t>
      </w:r>
      <w:r>
        <w:t xml:space="preserve"> and mineralized structures</w:t>
      </w:r>
    </w:p>
    <w:p w14:paraId="2EE01F89" w14:textId="77777777" w:rsidR="00B97BD3" w:rsidRDefault="00B97BD3" w:rsidP="00B97BD3">
      <w:pPr>
        <w:pStyle w:val="ListParagraph"/>
        <w:numPr>
          <w:ilvl w:val="0"/>
          <w:numId w:val="2"/>
        </w:numPr>
      </w:pPr>
      <w:r>
        <w:t>Surface mapping can be continued downwards by progressive depth slices</w:t>
      </w:r>
    </w:p>
    <w:p w14:paraId="67268523" w14:textId="77777777" w:rsidR="00B97BD3" w:rsidRDefault="00B97BD3" w:rsidP="00B97BD3">
      <w:pPr>
        <w:pStyle w:val="ListParagraph"/>
        <w:numPr>
          <w:ilvl w:val="0"/>
          <w:numId w:val="2"/>
        </w:numPr>
      </w:pPr>
      <w:r>
        <w:t>Map the surficial conductivities separately from the deeper bedrock responses.</w:t>
      </w:r>
    </w:p>
    <w:p w14:paraId="1FB2C339" w14:textId="2272F824" w:rsidR="00B66925" w:rsidRDefault="00495542" w:rsidP="00F16484">
      <w:r>
        <w:t>Here</w:t>
      </w:r>
      <w:r w:rsidR="00B97BD3">
        <w:t>, a detailed</w:t>
      </w:r>
      <w:r w:rsidR="00F16484">
        <w:t xml:space="preserve"> inversion </w:t>
      </w:r>
      <w:r w:rsidR="00B97BD3">
        <w:t xml:space="preserve">was performed on the data, which to our knowledge, is the first </w:t>
      </w:r>
      <w:r w:rsidR="00F16484">
        <w:t>time airborne VLF-EM data from a typical greenstone terrane in North America have been inverted. The interpretation</w:t>
      </w:r>
      <w:r w:rsidR="00B97BD3">
        <w:t xml:space="preserve"> </w:t>
      </w:r>
      <w:r w:rsidR="00F16484">
        <w:t>successfully enabled refinement of high priority targets and definition of key geological features.</w:t>
      </w:r>
    </w:p>
    <w:p w14:paraId="580CF408" w14:textId="015BABFC" w:rsidR="00B66925" w:rsidRDefault="00B97BD3" w:rsidP="00F16484">
      <w:r>
        <w:t xml:space="preserve">In </w:t>
      </w:r>
      <w:r w:rsidR="00F16484">
        <w:t xml:space="preserve">summary, resistivity products </w:t>
      </w:r>
      <w:r w:rsidR="00B66925">
        <w:t xml:space="preserve">-- </w:t>
      </w:r>
      <w:r w:rsidR="00F16484">
        <w:t>derived from the inversion of airborne Matrix</w:t>
      </w:r>
      <w:r w:rsidR="00495542">
        <w:rPr>
          <w:rFonts w:cstheme="minorHAnsi"/>
        </w:rPr>
        <w:t>™</w:t>
      </w:r>
      <w:r w:rsidR="00F16484">
        <w:t xml:space="preserve"> VLF-EM data from a typical greenstone belt with thin overburden </w:t>
      </w:r>
      <w:r w:rsidR="00B66925">
        <w:t xml:space="preserve">-- </w:t>
      </w:r>
      <w:r w:rsidR="00F16484">
        <w:t>provide an inexpensive technique to identify and map near surface bedrock lithologies</w:t>
      </w:r>
      <w:r w:rsidR="00B66925">
        <w:t>;</w:t>
      </w:r>
      <w:r w:rsidR="00F16484">
        <w:t xml:space="preserve"> structure</w:t>
      </w:r>
      <w:r w:rsidR="00B66925">
        <w:t>;</w:t>
      </w:r>
      <w:r w:rsidR="00F16484">
        <w:t xml:space="preserve"> alteration</w:t>
      </w:r>
      <w:r w:rsidR="00B66925">
        <w:t>;</w:t>
      </w:r>
      <w:r w:rsidR="00F16484">
        <w:t xml:space="preserve"> and mineralization</w:t>
      </w:r>
      <w:r>
        <w:t xml:space="preserve"> in gold exploration</w:t>
      </w:r>
      <w:r w:rsidR="00F16484">
        <w:t xml:space="preserve">. </w:t>
      </w:r>
    </w:p>
    <w:p w14:paraId="3A8A5BE9" w14:textId="1FE12961" w:rsidR="00B66925" w:rsidRPr="00B66925" w:rsidRDefault="00B66925" w:rsidP="00F16484">
      <w:pPr>
        <w:rPr>
          <w:b/>
          <w:bCs/>
        </w:rPr>
      </w:pPr>
      <w:r w:rsidRPr="00B66925">
        <w:rPr>
          <w:b/>
          <w:bCs/>
        </w:rPr>
        <w:t>For More Information</w:t>
      </w:r>
    </w:p>
    <w:p w14:paraId="5E361F46" w14:textId="6F15EB14" w:rsidR="00B66925" w:rsidRDefault="00B66925" w:rsidP="00F16484">
      <w:r>
        <w:t>Terraquest</w:t>
      </w:r>
      <w:r w:rsidR="00F16484">
        <w:t xml:space="preserve"> would be pleased to discuss </w:t>
      </w:r>
      <w:r>
        <w:t>Matrix</w:t>
      </w:r>
      <w:r w:rsidR="00495542">
        <w:rPr>
          <w:rFonts w:cstheme="minorHAnsi"/>
        </w:rPr>
        <w:t>™</w:t>
      </w:r>
      <w:r>
        <w:t xml:space="preserve"> VLF surveys and interpretation approaches</w:t>
      </w:r>
      <w:r w:rsidR="00F16484">
        <w:t xml:space="preserve"> with you</w:t>
      </w:r>
      <w:r>
        <w:t>, includin</w:t>
      </w:r>
      <w:r w:rsidR="00F16484">
        <w:t xml:space="preserve">g </w:t>
      </w:r>
      <w:r w:rsidR="00B97BD3">
        <w:t>inversions of existing or planned data</w:t>
      </w:r>
      <w:r w:rsidR="00F16484">
        <w:t>.</w:t>
      </w:r>
      <w:r>
        <w:t xml:space="preserve"> For more information, click here </w:t>
      </w:r>
      <w:r w:rsidRPr="00B66925">
        <w:rPr>
          <w:highlight w:val="yellow"/>
        </w:rPr>
        <w:t>&lt;LINK to EASY-QUOTE</w:t>
      </w:r>
      <w:r>
        <w:rPr>
          <w:highlight w:val="yellow"/>
        </w:rPr>
        <w:t xml:space="preserve"> form</w:t>
      </w:r>
      <w:r w:rsidRPr="00B66925">
        <w:rPr>
          <w:highlight w:val="yellow"/>
        </w:rPr>
        <w:t>&gt;</w:t>
      </w:r>
      <w:r>
        <w:t>.</w:t>
      </w:r>
    </w:p>
    <w:sectPr w:rsidR="00B669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626BAE"/>
    <w:multiLevelType w:val="hybridMultilevel"/>
    <w:tmpl w:val="82F6B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DD044B"/>
    <w:multiLevelType w:val="hybridMultilevel"/>
    <w:tmpl w:val="CC22D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386020"/>
    <w:multiLevelType w:val="hybridMultilevel"/>
    <w:tmpl w:val="F3442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484"/>
    <w:rsid w:val="00035E21"/>
    <w:rsid w:val="00394A5E"/>
    <w:rsid w:val="00495542"/>
    <w:rsid w:val="007F33C7"/>
    <w:rsid w:val="00B020A3"/>
    <w:rsid w:val="00B63C73"/>
    <w:rsid w:val="00B66925"/>
    <w:rsid w:val="00B97BD3"/>
    <w:rsid w:val="00C10351"/>
    <w:rsid w:val="00D66A5B"/>
    <w:rsid w:val="00E83C31"/>
    <w:rsid w:val="00F164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E10CB"/>
  <w15:chartTrackingRefBased/>
  <w15:docId w15:val="{680DDB34-2B03-4988-AF3A-C683C36F9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CA"/>
    </w:rPr>
  </w:style>
  <w:style w:type="paragraph" w:styleId="Heading1">
    <w:name w:val="heading 1"/>
    <w:basedOn w:val="Normal"/>
    <w:next w:val="Normal"/>
    <w:link w:val="Heading1Char"/>
    <w:uiPriority w:val="9"/>
    <w:qFormat/>
    <w:rsid w:val="00394A5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394A5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Head1">
    <w:name w:val="N-Head1"/>
    <w:basedOn w:val="Heading1"/>
    <w:link w:val="N-Head1Char"/>
    <w:qFormat/>
    <w:rsid w:val="00394A5E"/>
    <w:rPr>
      <w:rFonts w:ascii="Lucida Sans" w:hAnsi="Lucida Sans"/>
      <w:b/>
    </w:rPr>
  </w:style>
  <w:style w:type="character" w:customStyle="1" w:styleId="N-Head1Char">
    <w:name w:val="N-Head1 Char"/>
    <w:basedOn w:val="Heading1Char"/>
    <w:link w:val="N-Head1"/>
    <w:rsid w:val="00394A5E"/>
    <w:rPr>
      <w:rFonts w:ascii="Lucida Sans" w:eastAsiaTheme="majorEastAsia" w:hAnsi="Lucida Sans" w:cstheme="majorBidi"/>
      <w:b/>
      <w:color w:val="2F5496" w:themeColor="accent1" w:themeShade="BF"/>
      <w:sz w:val="32"/>
      <w:szCs w:val="32"/>
    </w:rPr>
  </w:style>
  <w:style w:type="character" w:customStyle="1" w:styleId="Heading1Char">
    <w:name w:val="Heading 1 Char"/>
    <w:basedOn w:val="DefaultParagraphFont"/>
    <w:link w:val="Heading1"/>
    <w:uiPriority w:val="9"/>
    <w:rsid w:val="00394A5E"/>
    <w:rPr>
      <w:rFonts w:asciiTheme="majorHAnsi" w:eastAsiaTheme="majorEastAsia" w:hAnsiTheme="majorHAnsi" w:cstheme="majorBidi"/>
      <w:color w:val="2F5496" w:themeColor="accent1" w:themeShade="BF"/>
      <w:sz w:val="32"/>
      <w:szCs w:val="32"/>
    </w:rPr>
  </w:style>
  <w:style w:type="paragraph" w:customStyle="1" w:styleId="N-Head2">
    <w:name w:val="N-Head2"/>
    <w:basedOn w:val="Heading2"/>
    <w:link w:val="N-Head2Char"/>
    <w:qFormat/>
    <w:rsid w:val="00394A5E"/>
    <w:pPr>
      <w:spacing w:before="120" w:after="120"/>
    </w:pPr>
    <w:rPr>
      <w:rFonts w:ascii="Lucida Sans" w:hAnsi="Lucida Sans"/>
      <w:sz w:val="24"/>
      <w:szCs w:val="24"/>
    </w:rPr>
  </w:style>
  <w:style w:type="character" w:customStyle="1" w:styleId="N-Head2Char">
    <w:name w:val="N-Head2 Char"/>
    <w:basedOn w:val="Heading2Char"/>
    <w:link w:val="N-Head2"/>
    <w:rsid w:val="00394A5E"/>
    <w:rPr>
      <w:rFonts w:ascii="Lucida Sans" w:eastAsiaTheme="majorEastAsia" w:hAnsi="Lucida Sans" w:cstheme="majorBidi"/>
      <w:color w:val="2F5496" w:themeColor="accent1" w:themeShade="BF"/>
      <w:sz w:val="24"/>
      <w:szCs w:val="24"/>
    </w:rPr>
  </w:style>
  <w:style w:type="character" w:customStyle="1" w:styleId="Heading2Char">
    <w:name w:val="Heading 2 Char"/>
    <w:basedOn w:val="DefaultParagraphFont"/>
    <w:link w:val="Heading2"/>
    <w:uiPriority w:val="9"/>
    <w:semiHidden/>
    <w:rsid w:val="00394A5E"/>
    <w:rPr>
      <w:rFonts w:asciiTheme="majorHAnsi" w:eastAsiaTheme="majorEastAsia" w:hAnsiTheme="majorHAnsi" w:cstheme="majorBidi"/>
      <w:color w:val="2F5496" w:themeColor="accent1" w:themeShade="BF"/>
      <w:sz w:val="26"/>
      <w:szCs w:val="26"/>
    </w:rPr>
  </w:style>
  <w:style w:type="paragraph" w:customStyle="1" w:styleId="N-Head3">
    <w:name w:val="N-Head3"/>
    <w:basedOn w:val="N-Head2"/>
    <w:link w:val="N-Head3Char"/>
    <w:qFormat/>
    <w:rsid w:val="00394A5E"/>
    <w:pPr>
      <w:spacing w:before="60" w:after="60"/>
    </w:pPr>
    <w:rPr>
      <w:b/>
    </w:rPr>
  </w:style>
  <w:style w:type="character" w:customStyle="1" w:styleId="N-Head3Char">
    <w:name w:val="N-Head3 Char"/>
    <w:basedOn w:val="N-Head2Char"/>
    <w:link w:val="N-Head3"/>
    <w:rsid w:val="00394A5E"/>
    <w:rPr>
      <w:rFonts w:ascii="Lucida Sans" w:eastAsiaTheme="majorEastAsia" w:hAnsi="Lucida Sans" w:cstheme="majorBidi"/>
      <w:b/>
      <w:color w:val="2F5496" w:themeColor="accent1" w:themeShade="BF"/>
      <w:sz w:val="24"/>
      <w:szCs w:val="24"/>
    </w:rPr>
  </w:style>
  <w:style w:type="paragraph" w:styleId="ListParagraph">
    <w:name w:val="List Paragraph"/>
    <w:basedOn w:val="Normal"/>
    <w:uiPriority w:val="34"/>
    <w:qFormat/>
    <w:rsid w:val="00F164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7301272">
      <w:bodyDiv w:val="1"/>
      <w:marLeft w:val="0"/>
      <w:marRight w:val="0"/>
      <w:marTop w:val="0"/>
      <w:marBottom w:val="0"/>
      <w:divBdr>
        <w:top w:val="none" w:sz="0" w:space="0" w:color="auto"/>
        <w:left w:val="none" w:sz="0" w:space="0" w:color="auto"/>
        <w:bottom w:val="none" w:sz="0" w:space="0" w:color="auto"/>
        <w:right w:val="none" w:sz="0" w:space="0" w:color="auto"/>
      </w:divBdr>
    </w:div>
    <w:div w:id="1442871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572</Words>
  <Characters>3266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Hollyer</dc:creator>
  <cp:keywords/>
  <dc:description/>
  <cp:lastModifiedBy>Greg Hollyer</cp:lastModifiedBy>
  <cp:revision>5</cp:revision>
  <dcterms:created xsi:type="dcterms:W3CDTF">2020-05-26T17:25:00Z</dcterms:created>
  <dcterms:modified xsi:type="dcterms:W3CDTF">2020-06-08T17:21:00Z</dcterms:modified>
</cp:coreProperties>
</file>